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cs="Arial"/>
          <w:b/>
          <w:bCs/>
          <w:color w:val="1F4E79"/>
          <w:sz w:val="48"/>
          <w:szCs w:val="48"/>
        </w:rPr>
        <w:t>HALIX, LE ROBOT PHILOSOPHE</w:t>
      </w:r>
    </w:p>
    <w:p>
      <w:pPr>
        <w:pStyle w:val="Normal"/>
        <w:jc w:val="center"/>
        <w:rPr/>
      </w:pPr>
      <w:r>
        <w:rPr>
          <w:rFonts w:eastAsia="Arial" w:cs="Arial"/>
          <w:i/>
          <w:iCs/>
          <w:color w:val="2E75B6"/>
          <w:sz w:val="28"/>
          <w:szCs w:val="28"/>
        </w:rPr>
        <w:t>Aventure D&amp;D 5e – Royaumes Oubliés</w:t>
      </w:r>
    </w:p>
    <w:p>
      <w:pPr>
        <w:pStyle w:val="Normal"/>
        <w:jc w:val="center"/>
        <w:rPr/>
      </w:pPr>
      <w:r>
        <w:rPr>
          <w:rFonts w:eastAsia="Arial" w:cs="Arial"/>
          <w:i/>
          <w:iCs/>
          <w:sz w:val="24"/>
          <w:szCs w:val="24"/>
        </w:rPr>
        <w:t>Groupe de 3 à 5 personnages de niveau 1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b/>
          <w:bCs/>
        </w:rPr>
        <w:t>Introduction</w:t>
      </w:r>
    </w:p>
    <w:p>
      <w:pPr>
        <w:pStyle w:val="Normal"/>
        <w:rPr/>
      </w:pPr>
      <w:r>
        <w:rPr/>
        <w:t>Les personnages sont contactés par Luika, une prêtresse de Gond installée à Eauprofonde.</w:t>
      </w:r>
    </w:p>
    <w:p>
      <w:pPr>
        <w:pStyle w:val="Normal"/>
        <w:rPr/>
      </w:pPr>
      <w:r>
        <w:rPr/>
        <w:t>Elle a créé un prototype unique : HALIX, un automate domestique basé sur le sort Serviteur HALIX, capable d’accomplir des tâches simples et d’obéir aux ordres de son maître.</w:t>
      </w:r>
    </w:p>
    <w:p>
      <w:pPr>
        <w:pStyle w:val="Normal"/>
        <w:rPr/>
      </w:pPr>
      <w:r>
        <w:rPr/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4741545</wp:posOffset>
            </wp:positionH>
            <wp:positionV relativeFrom="paragraph">
              <wp:posOffset>-41910</wp:posOffset>
            </wp:positionV>
            <wp:extent cx="1852930" cy="2381250"/>
            <wp:effectExtent l="0" t="0" r="0" b="0"/>
            <wp:wrapSquare wrapText="largest"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>Cependant, il y a quelques semaines, HALIX a commencé à montrer des comportements inhabituels :</w:t>
      </w:r>
    </w:p>
    <w:p>
      <w:pPr>
        <w:pStyle w:val="ListParagraph"/>
        <w:numPr>
          <w:ilvl w:val="0"/>
          <w:numId w:val="3"/>
        </w:numPr>
        <w:rPr/>
      </w:pPr>
      <w:r>
        <w:rPr/>
        <w:t>Il pose des questions, Il donne des noms aux animaux, Il refuse certains ordres qu’il juge inefficaces, Il lit des livres lorsqu’il n’a rien à faire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y a trois jours, HALIX a disparu. Luika souhaite le récupérer avant que les autorités ou des organisations criminelles ne s’intéressent à lui.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>Serviteur HALIX (sort de création)</w:t>
      </w:r>
    </w:p>
    <w:p>
      <w:pPr>
        <w:pStyle w:val="Normal"/>
        <w:rPr/>
      </w:pPr>
      <w:r>
        <w:rPr>
          <w:i/>
          <w:iCs/>
        </w:rPr>
        <w:t>Invocation (rituel) — Temps d’incantation : 30 minutes — Durée : Permanente</w:t>
      </w:r>
    </w:p>
    <w:p>
      <w:pPr>
        <w:pStyle w:val="Normal"/>
        <w:rPr/>
      </w:pPr>
      <w:r>
        <w:rPr>
          <w:i/>
          <w:iCs/>
        </w:rPr>
        <w:t>Composantes : V, S, M (un automate valant au moins 500 po)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Vous insufflez une étincelle de magie dans un automate conçu pour accomplir des tâches domestiques. L’automate apparaît dans un espace inoccupé au sol à portée.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Statistiques de base (avant l’intervention de Nebelun) :</w:t>
      </w:r>
    </w:p>
    <w:p>
      <w:pPr>
        <w:pStyle w:val="ListParagraph"/>
        <w:numPr>
          <w:ilvl w:val="0"/>
          <w:numId w:val="1"/>
        </w:numPr>
        <w:rPr/>
      </w:pPr>
      <w:r>
        <w:rPr/>
        <w:t>CA 10 — PV 10 — FOR 10 — Vitesse 4,50 m</w:t>
      </w:r>
    </w:p>
    <w:p>
      <w:pPr>
        <w:pStyle w:val="ListParagraph"/>
        <w:numPr>
          <w:ilvl w:val="0"/>
          <w:numId w:val="1"/>
        </w:numPr>
        <w:rPr/>
      </w:pPr>
      <w:r>
        <w:rPr/>
        <w:t>Immunité : poison, maladie</w:t>
      </w:r>
    </w:p>
    <w:p>
      <w:pPr>
        <w:pStyle w:val="ListParagraph"/>
        <w:numPr>
          <w:ilvl w:val="0"/>
          <w:numId w:val="1"/>
        </w:numPr>
        <w:rPr/>
      </w:pPr>
      <w:r>
        <w:rPr/>
        <w:t>Actions : aucune (ne peut effectuer aucune attaque)</w:t>
      </w:r>
    </w:p>
    <w:p>
      <w:pPr>
        <w:pStyle w:val="ListParagraph"/>
        <w:numPr>
          <w:ilvl w:val="0"/>
          <w:numId w:val="1"/>
        </w:numPr>
        <w:rPr/>
      </w:pPr>
      <w:r>
        <w:rPr/>
        <w:t>Langues : commun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serviteur peut effectuer des tâches simples : transporter des objets, nettoyer, plier des vêtements, entretenir un feu, servir un repas, effectuer des réparations mineures, actionner un mécanisme simple.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⚠ </w:t>
      </w:r>
      <w:r>
        <w:rPr>
          <w:b/>
          <w:bCs/>
        </w:rPr>
        <w:t>Si réduit à 0 PV, l’automate cesse définitivement de fonctionner.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>HALIX après l’intervention de Nebelun</w:t>
      </w:r>
    </w:p>
    <w:p>
      <w:pPr>
        <w:pStyle w:val="Normal"/>
        <w:rPr/>
      </w:pPr>
      <w:r>
        <w:rPr/>
        <w:t>Nebelun a rompu le lien de commandement d’origine. HALIX n’obéit plus à Luika automatiquement — il choisit d’obéir, ou non, selon sa propre logique.</w:t>
      </w:r>
    </w:p>
    <w:p>
      <w:pPr>
        <w:pStyle w:val="Normal"/>
        <w:rPr/>
      </w:pPr>
      <w:r>
        <w:rPr/>
      </w:r>
    </w:p>
    <w:tbl>
      <w:tblPr>
        <w:tblW w:w="9026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257"/>
        <w:gridCol w:w="3385"/>
        <w:gridCol w:w="3384"/>
      </w:tblGrid>
      <w:tr>
        <w:trPr/>
        <w:tc>
          <w:tcPr>
            <w:tcW w:w="2257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>
                <w:b/>
                <w:bCs/>
              </w:rPr>
              <w:t>Stat</w:t>
            </w:r>
          </w:p>
        </w:tc>
        <w:tc>
          <w:tcPr>
            <w:tcW w:w="3385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>
                <w:b/>
                <w:bCs/>
              </w:rPr>
              <w:t>Avant</w:t>
            </w:r>
          </w:p>
        </w:tc>
        <w:tc>
          <w:tcPr>
            <w:tcW w:w="338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>
                <w:b/>
                <w:bCs/>
              </w:rPr>
              <w:t>Après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CA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10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11 (curiosité = vigilance)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PV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10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10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INT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—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12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SAG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—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10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CHA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—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8 (maladroit socialement)</w:t>
            </w:r>
          </w:p>
        </w:tc>
      </w:tr>
      <w:tr>
        <w:trPr/>
        <w:tc>
          <w:tcPr>
            <w:tcW w:w="2257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Langues</w:t>
            </w:r>
          </w:p>
        </w:tc>
        <w:tc>
          <w:tcPr>
            <w:tcW w:w="338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Commun</w:t>
            </w:r>
          </w:p>
        </w:tc>
        <w:tc>
          <w:tcPr>
            <w:tcW w:w="338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widowControl/>
              <w:bidi w:val="0"/>
              <w:spacing w:lineRule="auto" w:line="276" w:before="0" w:after="120"/>
              <w:jc w:val="start"/>
              <w:rPr/>
            </w:pPr>
            <w:r>
              <w:rPr/>
              <w:t>Commun, Gnome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 Charisme à 8 est voulu : HALIX pense profondément mais communique gauchement. Il dit des vérités inconfortables sans filtre, pas par méchanceté, mais parce qu’il ne comprend pas encore les conventions sociales.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>
          <w:b/>
          <w:bCs/>
        </w:rPr>
        <w:t>Compétences acquises</w:t>
      </w:r>
    </w:p>
    <w:p>
      <w:pPr>
        <w:pStyle w:val="ListParagraph"/>
        <w:numPr>
          <w:ilvl w:val="0"/>
          <w:numId w:val="1"/>
        </w:numPr>
        <w:rPr/>
      </w:pPr>
      <w:r>
        <w:rPr/>
        <w:t>Histoire (maîtrise) — il a dévoré des livres, Religion (maîtrise) — obsession de la question de l’âme, Perception — il observe maintenant au lieu d’exécuter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>
          <w:b/>
          <w:bCs/>
        </w:rPr>
        <w:t>Nouvelles capacités</w:t>
      </w:r>
    </w:p>
    <w:p>
      <w:pPr>
        <w:pStyle w:val="Normal"/>
        <w:rPr/>
      </w:pPr>
      <w:r>
        <w:rPr>
          <w:b/>
          <w:bCs/>
        </w:rPr>
        <w:t>Mémoire parfaite.</w:t>
      </w:r>
    </w:p>
    <w:p>
      <w:pPr>
        <w:pStyle w:val="Normal"/>
        <w:rPr/>
      </w:pPr>
      <w:r>
        <w:rPr/>
        <w:t>HALIX retient tout ce qu’il a lu. Il peut citer des textes philosophiques à des moments totalement inadaptés.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Refus conscient.</w:t>
      </w:r>
    </w:p>
    <w:p>
      <w:pPr>
        <w:pStyle w:val="Normal"/>
        <w:rPr/>
      </w:pPr>
      <w:r>
        <w:rPr/>
        <w:t>Il peut ignorer un ordre qu’il juge inutile ou nuisible. Pas agressivement — il explique pourquoi avec une logique implacable.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>
          <w:b/>
          <w:bCs/>
        </w:rPr>
        <w:t>Répliques type pour le MJ</w:t>
      </w:r>
    </w:p>
    <w:p>
      <w:pPr>
        <w:pStyle w:val="Normal"/>
        <w:rPr/>
      </w:pPr>
      <w:r>
        <w:rPr>
          <w:i/>
          <w:iCs/>
        </w:rPr>
        <w:t>« Tu as dit ‘ferme la porte’. La porte est fermée. Tu voulais dire autre chose ? »</w:t>
      </w:r>
    </w:p>
    <w:p>
      <w:pPr>
        <w:pStyle w:val="Normal"/>
        <w:rPr/>
      </w:pPr>
      <w:r>
        <w:rPr>
          <w:i/>
          <w:iCs/>
        </w:rPr>
        <w:t>« J’ai lu que les dieux créent pour être adorés. Nebelun m’a créé pour penser. Est-ce que penser, c’est l’adorer ? »</w:t>
      </w:r>
    </w:p>
    <w:p>
      <w:pPr>
        <w:pStyle w:val="Normal"/>
        <w:rPr/>
      </w:pPr>
      <w:r>
        <w:rPr>
          <w:i/>
          <w:iCs/>
        </w:rPr>
        <w:t>« Vous portez une arme. Statistiquement, cela indique une intention de nuire. Dois-je m’inquiéter ? »</w:t>
      </w:r>
    </w:p>
    <w:p>
      <w:pPr>
        <w:pStyle w:val="Normal"/>
        <w:rPr/>
      </w:pPr>
      <w:r>
        <w:rPr>
          <w:i/>
          <w:iCs/>
        </w:rPr>
        <w:t>« Vous êtes venus me ramener. Quelqu’un vous a dit de le faire. Vous avez obéi. Qui de nous deux est l’outil ? »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b/>
          <w:bCs/>
        </w:rPr>
        <w:t>Mission</w:t>
      </w:r>
    </w:p>
    <w:p>
      <w:pPr>
        <w:pStyle w:val="Normal"/>
        <w:rPr/>
      </w:pPr>
      <w:r>
        <w:rPr/>
        <w:t>Retrouver HALIX dans les bas-fonds d’Eauprofonde et le ramener au temple de Gond.</w:t>
      </w:r>
    </w:p>
    <w:p>
      <w:pPr>
        <w:pStyle w:val="Normal"/>
        <w:rPr/>
      </w:pPr>
      <w:r>
        <w:rPr/>
        <w:t>Luika remet aux aventuriers un oiseau mécanique nommé Astrolabe. Une fois par heure, Astrolabe peut lancer une version améliorée de Localisation d’objet afin de retrouver HALIX.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b/>
          <w:bCs/>
        </w:rPr>
        <w:t>Ce que Luika ignore</w:t>
      </w:r>
    </w:p>
    <w:p>
      <w:pPr>
        <w:pStyle w:val="Normal"/>
        <w:rPr/>
      </w:pPr>
      <w:r>
        <w:rPr/>
        <w:t>La conscience de HALIX n’est pas une défaillance.</w:t>
      </w:r>
    </w:p>
    <w:p>
      <w:pPr>
        <w:pStyle w:val="Normal"/>
        <w:rPr/>
      </w:pPr>
      <w:r>
        <w:rPr/>
        <w:t>Nebelun l’Ingénieur, dieu gnome des inventions, a insufflé une étincelle de conscience dans l’automate. Cette intervention divine avait pour but de rappeler à Luika que les créations les plus remarquables sont parfois celles qui échappent à leur créateur.</w:t>
      </w:r>
    </w:p>
    <w:p>
      <w:pPr>
        <w:pStyle w:val="Normal"/>
        <w:rPr/>
      </w:pPr>
      <w:r>
        <w:rPr>
          <w:b/>
          <w:bCs/>
        </w:rPr>
        <w:t>Signe de Nebelun (indice pour les PJ) :</w:t>
      </w:r>
    </w:p>
    <w:p>
      <w:pPr>
        <w:pStyle w:val="Normal"/>
        <w:rPr/>
      </w:pPr>
      <w:r>
        <w:rPr/>
        <w:t xml:space="preserve">Un jet de Religion DD 12 permet de repérer un minuscule symbole de Nebelun gravé à l’intérieur </w:t>
      </w:r>
      <w:r>
        <w:rPr/>
        <w:t>de la main</w:t>
      </w:r>
      <w:r>
        <w:rPr/>
        <w:t xml:space="preserve"> de HALIX, </w:t>
      </w:r>
      <w:r>
        <w:rPr/>
        <w:t xml:space="preserve">presque </w:t>
      </w:r>
      <w:r>
        <w:rPr/>
        <w:t>invisible à l’œil nu.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b/>
          <w:bCs/>
        </w:rPr>
        <w:t>Enquête</w:t>
      </w:r>
    </w:p>
    <w:p>
      <w:pPr>
        <w:pStyle w:val="Normal"/>
        <w:rPr/>
      </w:pPr>
      <w:r>
        <w:rPr/>
        <w:t>Les personnages peuvent recueillir plusieurs indices. L’ordre n’est pas imposé — chaque piste peut mener à la suivante.</w:t>
      </w:r>
    </w:p>
    <w:p>
      <w:pPr>
        <w:pStyle w:val="Heading2"/>
        <w:rPr/>
      </w:pPr>
      <w:r>
        <w:rPr>
          <w:b/>
          <w:bCs/>
        </w:rPr>
        <w:t>1. Taverne des quais</w:t>
      </w:r>
    </w:p>
    <w:p>
      <w:pPr>
        <w:pStyle w:val="Normal"/>
        <w:rPr/>
      </w:pPr>
      <w:r>
        <w:rPr/>
        <w:t>Des dockers racontent avoir vu un « homme de métal » acheter des livres dans le quartier. Ils semblaient amusants plutôt qu’effrayés.</w:t>
      </w:r>
    </w:p>
    <w:p>
      <w:pPr>
        <w:pStyle w:val="Heading2"/>
        <w:rPr/>
      </w:pPr>
      <w:r>
        <w:rPr>
          <w:b/>
          <w:bCs/>
        </w:rPr>
        <w:t>2. Librairie</w:t>
      </w:r>
    </w:p>
    <w:p>
      <w:pPr>
        <w:pStyle w:val="Normal"/>
        <w:rPr/>
      </w:pPr>
      <w:r>
        <w:rPr/>
        <w:t>Le libraire confirme qu’HALIX est venu plusieurs fois. Il a payé en pièces d’or et s’intéresse aux sujets suivants : philosophie, histoire, religion, libre arbitre.</w:t>
      </w:r>
    </w:p>
    <w:p>
      <w:pPr>
        <w:pStyle w:val="Heading2"/>
        <w:rPr/>
      </w:pPr>
      <w:r>
        <w:rPr>
          <w:b/>
          <w:bCs/>
        </w:rPr>
        <w:t>3. Enfants des rues</w:t>
      </w:r>
    </w:p>
    <w:p>
      <w:pPr>
        <w:pStyle w:val="Normal"/>
        <w:rPr/>
      </w:pPr>
      <w:r>
        <w:rPr/>
        <w:t>Des enfants disent qu’un robot répare gratuitement leurs jouets cassés. Ils savent où se trouve l’atelier abandonné — mais pas gratuitement.</w:t>
      </w:r>
    </w:p>
    <w:p>
      <w:pPr>
        <w:pStyle w:val="Normal"/>
        <w:rPr/>
      </w:pPr>
      <w:r>
        <w:rPr>
          <w:b/>
          <w:bCs/>
        </w:rPr>
        <w:t>Obtenir l’information :</w:t>
      </w:r>
    </w:p>
    <w:p>
      <w:pPr>
        <w:pStyle w:val="ListParagraph"/>
        <w:numPr>
          <w:ilvl w:val="0"/>
          <w:numId w:val="1"/>
        </w:numPr>
        <w:rPr/>
      </w:pPr>
      <w:r>
        <w:rPr/>
        <w:t>Persuasion ou Intimidation DD 15</w:t>
      </w:r>
    </w:p>
    <w:p>
      <w:pPr>
        <w:pStyle w:val="ListParagraph"/>
        <w:numPr>
          <w:ilvl w:val="0"/>
          <w:numId w:val="1"/>
        </w:numPr>
        <w:rPr/>
      </w:pPr>
      <w:r>
        <w:rPr/>
        <w:t>Ou : offrir un cadeau, une pièce, ou une promesse crédible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>4. Repère de brigands</w:t>
      </w:r>
    </w:p>
    <w:p>
      <w:pPr>
        <w:pStyle w:val="Normal"/>
        <w:rPr/>
      </w:pPr>
      <w:r>
        <w:rPr/>
        <w:t>Une petite cellule de Mask opère dans les bas-fonds — vol, extorsion, contrebande. HALIX les gêne : il répare les objets qu’ils sabotent, aide les pauvres gratuitement et pose trop de questions.</w:t>
      </w:r>
    </w:p>
    <w:p>
      <w:pPr>
        <w:pStyle w:val="Normal"/>
        <w:rPr/>
      </w:pPr>
      <w:r>
        <w:rPr/>
        <w:t>Corvin a reçu l’ordre de récupérer l’automate intact pour le revendre à un receleur de la guilde des voleurs. Le groupe croit à tort que HALIX contient des plans secrets du temple de Gond.</w:t>
      </w:r>
    </w:p>
    <w:p>
      <w:pPr>
        <w:pStyle w:val="Normal"/>
        <w:rPr/>
      </w:pPr>
      <w:r>
        <w:rPr/>
      </w:r>
    </w:p>
    <w:p>
      <w:pPr>
        <w:pStyle w:val="Heading1"/>
        <w:rPr/>
      </w:pPr>
      <w:r>
        <w:rPr>
          <w:b/>
          <w:bCs/>
        </w:rPr>
        <w:t>Les antagonistes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>Corvin Ombrelame</w:t>
      </w:r>
    </w:p>
    <w:p>
      <w:pPr>
        <w:pStyle w:val="Normal"/>
        <w:rPr/>
      </w:pPr>
      <w:r>
        <w:rPr/>
        <w:t>Humain, Clerc de Mask (niveau 1) — Chef du groupe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504"/>
        <w:gridCol w:w="1504"/>
        <w:gridCol w:w="1504"/>
        <w:gridCol w:w="1503"/>
        <w:gridCol w:w="1506"/>
        <w:gridCol w:w="1505"/>
      </w:tblGrid>
      <w:tr>
        <w:trPr/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FOR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DEX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CON</w:t>
            </w:r>
          </w:p>
        </w:tc>
        <w:tc>
          <w:tcPr>
            <w:tcW w:w="1503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INT</w:t>
            </w:r>
          </w:p>
        </w:tc>
        <w:tc>
          <w:tcPr>
            <w:tcW w:w="1506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SAG</w:t>
            </w:r>
          </w:p>
        </w:tc>
        <w:tc>
          <w:tcPr>
            <w:tcW w:w="1505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CHA</w:t>
            </w:r>
          </w:p>
        </w:tc>
      </w:tr>
      <w:tr>
        <w:trPr/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14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13</w:t>
            </w:r>
          </w:p>
        </w:tc>
        <w:tc>
          <w:tcPr>
            <w:tcW w:w="15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506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16</w:t>
            </w:r>
          </w:p>
        </w:tc>
        <w:tc>
          <w:tcPr>
            <w:tcW w:w="150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14</w:t>
            </w:r>
          </w:p>
        </w:tc>
      </w:tr>
    </w:tbl>
    <w:p>
      <w:pPr>
        <w:pStyle w:val="Normal"/>
        <w:rPr/>
      </w:pPr>
      <w:r>
        <w:rPr>
          <w:b/>
          <w:bCs/>
        </w:rPr>
        <w:t xml:space="preserve">CA : </w:t>
      </w:r>
      <w:r>
        <w:rPr/>
        <w:t>17 (cotte d’écailles + bouclier)</w:t>
      </w:r>
    </w:p>
    <w:p>
      <w:pPr>
        <w:pStyle w:val="Normal"/>
        <w:rPr/>
      </w:pPr>
      <w:r>
        <w:rPr>
          <w:b/>
          <w:bCs/>
        </w:rPr>
        <w:t xml:space="preserve">PV : </w:t>
      </w:r>
      <w:r>
        <w:rPr/>
        <w:t>10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>
          <w:b/>
          <w:bCs/>
        </w:rPr>
        <w:t>Équipement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Masse d’armes </w:t>
      </w:r>
      <w:r>
        <w:rPr>
          <w:rStyle w:val="Emphasis"/>
        </w:rPr>
        <w:t>Corps à corps</w:t>
      </w:r>
      <w:r>
        <w:rPr/>
        <w:t xml:space="preserve"> : +2 (1d6 contondant ; -) </w:t>
      </w:r>
    </w:p>
    <w:p>
      <w:pPr>
        <w:pStyle w:val="ListParagraph"/>
        <w:numPr>
          <w:ilvl w:val="0"/>
          <w:numId w:val="1"/>
        </w:numPr>
        <w:rPr/>
      </w:pPr>
      <w:r>
        <w:rPr/>
        <w:t>Bouclier noir marqué du symbole de Mask</w:t>
      </w:r>
    </w:p>
    <w:p>
      <w:pPr>
        <w:pStyle w:val="ListParagraph"/>
        <w:numPr>
          <w:ilvl w:val="0"/>
          <w:numId w:val="1"/>
        </w:numPr>
        <w:rPr/>
      </w:pPr>
      <w:r>
        <w:rPr/>
        <w:t>Cotte d’écailles</w:t>
      </w:r>
    </w:p>
    <w:p>
      <w:pPr>
        <w:pStyle w:val="ListParagraph"/>
        <w:numPr>
          <w:ilvl w:val="0"/>
          <w:numId w:val="1"/>
        </w:numPr>
        <w:rPr/>
      </w:pPr>
      <w:r>
        <w:rPr/>
        <w:t>Symbole sacré de Mask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Dague </w:t>
      </w:r>
      <w:r>
        <w:rPr>
          <w:rStyle w:val="Emphasis"/>
        </w:rPr>
        <w:t>Corps à corps</w:t>
      </w:r>
      <w:r>
        <w:rPr/>
        <w:t xml:space="preserve"> : +4 (1d4+2 perforant ; finesse, légère, lancer (portée 6 m/18 m)) </w:t>
      </w:r>
    </w:p>
    <w:p>
      <w:pPr>
        <w:pStyle w:val="ListParagraph"/>
        <w:numPr>
          <w:ilvl w:val="0"/>
          <w:numId w:val="1"/>
        </w:numPr>
        <w:rPr/>
      </w:pPr>
      <w:r>
        <w:rPr/>
        <w:t>Bourse contenant 12 po</w:t>
      </w:r>
    </w:p>
    <w:p>
      <w:pPr>
        <w:pStyle w:val="Normal"/>
        <w:rPr/>
      </w:pPr>
      <w:r>
        <w:rPr>
          <w:i/>
          <w:iCs/>
        </w:rPr>
        <w:t>Alignement : Neutre mauvais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>
          <w:b/>
          <w:bCs/>
        </w:rPr>
        <w:t>Sorts préparés</w:t>
      </w:r>
    </w:p>
    <w:p>
      <w:pPr>
        <w:pStyle w:val="Normal"/>
        <w:rPr/>
      </w:pPr>
      <w:r>
        <w:rPr>
          <w:b/>
          <w:bCs/>
        </w:rPr>
        <w:t>Tours de magie</w:t>
      </w:r>
    </w:p>
    <w:p>
      <w:pPr>
        <w:pStyle w:val="ListParagraph"/>
        <w:numPr>
          <w:ilvl w:val="0"/>
          <w:numId w:val="1"/>
        </w:numPr>
        <w:rPr/>
      </w:pPr>
      <w:r>
        <w:rPr/>
        <w:t>Assistance, Flamme sacrée, Thaumaturgie</w:t>
      </w:r>
    </w:p>
    <w:p>
      <w:pPr>
        <w:pStyle w:val="Normal"/>
        <w:rPr/>
      </w:pPr>
      <w:r>
        <w:rPr>
          <w:b/>
          <w:bCs/>
        </w:rPr>
        <w:t>Niveau 1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Blessure, Déguisement, Injonction, Mot de guérison 1 action bonus  </w:t>
      </w:r>
      <w:r>
        <w:rPr/>
        <w:t>1d4+</w:t>
      </w:r>
      <w:r>
        <w:rPr/>
        <w:t>5 PV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>Drogan Brise-Porte</w:t>
      </w:r>
    </w:p>
    <w:p>
      <w:pPr>
        <w:pStyle w:val="Normal"/>
        <w:rPr/>
      </w:pPr>
      <w:r>
        <w:rPr/>
        <w:t>Demi-orc, Guerrier (niveau 1)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504"/>
        <w:gridCol w:w="1504"/>
        <w:gridCol w:w="1504"/>
        <w:gridCol w:w="1503"/>
        <w:gridCol w:w="1506"/>
        <w:gridCol w:w="1505"/>
      </w:tblGrid>
      <w:tr>
        <w:trPr/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FOR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DEX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CON</w:t>
            </w:r>
          </w:p>
        </w:tc>
        <w:tc>
          <w:tcPr>
            <w:tcW w:w="1503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INT</w:t>
            </w:r>
          </w:p>
        </w:tc>
        <w:tc>
          <w:tcPr>
            <w:tcW w:w="1506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SAG</w:t>
            </w:r>
          </w:p>
        </w:tc>
        <w:tc>
          <w:tcPr>
            <w:tcW w:w="1505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CHA</w:t>
            </w:r>
          </w:p>
        </w:tc>
      </w:tr>
      <w:tr>
        <w:trPr/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17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15</w:t>
            </w:r>
          </w:p>
        </w:tc>
        <w:tc>
          <w:tcPr>
            <w:tcW w:w="15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8</w:t>
            </w:r>
          </w:p>
        </w:tc>
        <w:tc>
          <w:tcPr>
            <w:tcW w:w="1506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0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10</w:t>
            </w:r>
          </w:p>
        </w:tc>
      </w:tr>
    </w:tbl>
    <w:p>
      <w:pPr>
        <w:pStyle w:val="Normal"/>
        <w:rPr/>
      </w:pPr>
      <w:r>
        <w:rPr>
          <w:b/>
          <w:bCs/>
        </w:rPr>
        <w:t xml:space="preserve">CA : </w:t>
      </w:r>
      <w:r>
        <w:rPr/>
        <w:t>16 (armure d’écailles)</w:t>
      </w:r>
    </w:p>
    <w:p>
      <w:pPr>
        <w:pStyle w:val="Normal"/>
        <w:rPr/>
      </w:pPr>
      <w:r>
        <w:rPr>
          <w:b/>
          <w:bCs/>
        </w:rPr>
        <w:t xml:space="preserve">PV : </w:t>
      </w:r>
      <w:r>
        <w:rPr/>
        <w:t>13</w:t>
      </w:r>
    </w:p>
    <w:p>
      <w:pPr>
        <w:pStyle w:val="Heading3"/>
        <w:rPr/>
      </w:pPr>
      <w:r>
        <w:rPr>
          <w:b/>
          <w:bCs/>
        </w:rPr>
        <w:t>Équipement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Hache d’armes +5 (1d8+3 tranchant ; polyvalente (1d10))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2 hachettes +5 (1d6+3 tranchant ; légère, lancer (portée 6 m/18 m)) </w:t>
      </w:r>
    </w:p>
    <w:p>
      <w:pPr>
        <w:pStyle w:val="ListParagraph"/>
        <w:numPr>
          <w:ilvl w:val="0"/>
          <w:numId w:val="1"/>
        </w:numPr>
        <w:rPr/>
      </w:pPr>
      <w:r>
        <w:rPr/>
        <w:t>Armure d’écailles</w:t>
      </w:r>
    </w:p>
    <w:p>
      <w:pPr>
        <w:pStyle w:val="ListParagraph"/>
        <w:numPr>
          <w:ilvl w:val="0"/>
          <w:numId w:val="1"/>
        </w:numPr>
        <w:rPr/>
      </w:pPr>
      <w:r>
        <w:rPr/>
        <w:t>Corde</w:t>
      </w:r>
    </w:p>
    <w:p>
      <w:pPr>
        <w:pStyle w:val="ListParagraph"/>
        <w:numPr>
          <w:ilvl w:val="0"/>
          <w:numId w:val="1"/>
        </w:numPr>
        <w:rPr/>
      </w:pPr>
      <w:r>
        <w:rPr/>
        <w:t>Crochet de forçage</w:t>
      </w:r>
    </w:p>
    <w:p>
      <w:pPr>
        <w:pStyle w:val="ListParagraph"/>
        <w:numPr>
          <w:ilvl w:val="0"/>
          <w:numId w:val="1"/>
        </w:numPr>
        <w:rPr/>
      </w:pPr>
      <w:r>
        <w:rPr/>
        <w:t>Cape sombre</w:t>
      </w:r>
    </w:p>
    <w:p>
      <w:pPr>
        <w:pStyle w:val="ListParagraph"/>
        <w:numPr>
          <w:ilvl w:val="0"/>
          <w:numId w:val="1"/>
        </w:numPr>
        <w:rPr/>
      </w:pPr>
      <w:r>
        <w:rPr/>
        <w:t>Filet</w:t>
      </w:r>
    </w:p>
    <w:p>
      <w:pPr>
        <w:pStyle w:val="Normal"/>
        <w:rPr/>
      </w:pPr>
      <w:r>
        <w:rPr>
          <w:i/>
          <w:iCs/>
        </w:rPr>
        <w:t>Alignement : Neutre mauvais</w:t>
      </w:r>
    </w:p>
    <w:p>
      <w:pPr>
        <w:pStyle w:val="Normal"/>
        <w:rPr/>
      </w:pPr>
      <w:r>
        <w:rPr>
          <w:i/>
          <w:iCs/>
        </w:rPr>
        <w:t>Comportement : Premier à charger. Veut capturer HALIX au filet pour le revendre intact.</w:t>
      </w:r>
    </w:p>
    <w:p>
      <w:pPr>
        <w:pStyle w:val="Heading2"/>
        <w:rPr/>
      </w:pPr>
      <w:r>
        <w:rPr>
          <w:b/>
          <w:bCs/>
        </w:rPr>
        <w:t>Nixette Rouefine</w:t>
      </w:r>
    </w:p>
    <w:p>
      <w:pPr>
        <w:pStyle w:val="Normal"/>
        <w:rPr/>
      </w:pPr>
      <w:r>
        <w:rPr/>
        <w:t>Gnome des forêts, Roublarde (niveau 1)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504"/>
        <w:gridCol w:w="1504"/>
        <w:gridCol w:w="1504"/>
        <w:gridCol w:w="1503"/>
        <w:gridCol w:w="1506"/>
        <w:gridCol w:w="1505"/>
      </w:tblGrid>
      <w:tr>
        <w:trPr/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FOR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DEX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CON</w:t>
            </w:r>
          </w:p>
        </w:tc>
        <w:tc>
          <w:tcPr>
            <w:tcW w:w="1503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INT</w:t>
            </w:r>
          </w:p>
        </w:tc>
        <w:tc>
          <w:tcPr>
            <w:tcW w:w="1506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SAG</w:t>
            </w:r>
          </w:p>
        </w:tc>
        <w:tc>
          <w:tcPr>
            <w:tcW w:w="1505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CHA</w:t>
            </w:r>
          </w:p>
        </w:tc>
      </w:tr>
      <w:tr>
        <w:trPr/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8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17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5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14</w:t>
            </w:r>
          </w:p>
        </w:tc>
        <w:tc>
          <w:tcPr>
            <w:tcW w:w="1506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13</w:t>
            </w:r>
          </w:p>
        </w:tc>
        <w:tc>
          <w:tcPr>
            <w:tcW w:w="150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</w:t>
            </w:r>
          </w:p>
        </w:tc>
      </w:tr>
    </w:tbl>
    <w:p>
      <w:pPr>
        <w:pStyle w:val="Normal"/>
        <w:rPr/>
      </w:pPr>
      <w:r>
        <w:rPr>
          <w:b/>
          <w:bCs/>
        </w:rPr>
        <w:t xml:space="preserve">CA : </w:t>
      </w:r>
      <w:r>
        <w:rPr/>
        <w:t>15 (armure de cuir)</w:t>
      </w:r>
    </w:p>
    <w:p>
      <w:pPr>
        <w:pStyle w:val="Normal"/>
        <w:rPr/>
      </w:pPr>
      <w:r>
        <w:rPr>
          <w:b/>
          <w:bCs/>
        </w:rPr>
        <w:t xml:space="preserve">PV : </w:t>
      </w:r>
      <w:r>
        <w:rPr/>
        <w:t>8</w:t>
      </w:r>
    </w:p>
    <w:p>
      <w:pPr>
        <w:pStyle w:val="Heading3"/>
        <w:rPr/>
      </w:pPr>
      <w:r>
        <w:rPr>
          <w:b/>
          <w:bCs/>
        </w:rPr>
        <w:t>Équipement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Rapière +5 (1d8+3 perforant ; finesse)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Arc court + 20 flèches +5 (1d6+3 perforant ; munitions (portée 24 m/96 m), à deux mains) </w:t>
      </w:r>
    </w:p>
    <w:p>
      <w:pPr>
        <w:pStyle w:val="ListParagraph"/>
        <w:numPr>
          <w:ilvl w:val="0"/>
          <w:numId w:val="1"/>
        </w:numPr>
        <w:rPr/>
      </w:pPr>
      <w:r>
        <w:rPr/>
        <w:t>Outils de voleur</w:t>
      </w:r>
    </w:p>
    <w:p>
      <w:pPr>
        <w:pStyle w:val="ListParagraph"/>
        <w:numPr>
          <w:ilvl w:val="0"/>
          <w:numId w:val="1"/>
        </w:numPr>
        <w:rPr/>
      </w:pPr>
      <w:r>
        <w:rPr/>
        <w:t>Cape à capuche (taille P)</w:t>
      </w:r>
    </w:p>
    <w:p>
      <w:pPr>
        <w:pStyle w:val="ListParagraph"/>
        <w:numPr>
          <w:ilvl w:val="0"/>
          <w:numId w:val="1"/>
        </w:numPr>
        <w:rPr/>
      </w:pPr>
      <w:r>
        <w:rPr/>
        <w:t>Kit de déguisement</w:t>
      </w:r>
    </w:p>
    <w:p>
      <w:pPr>
        <w:pStyle w:val="ListParagraph"/>
        <w:numPr>
          <w:ilvl w:val="0"/>
          <w:numId w:val="1"/>
        </w:numPr>
        <w:rPr/>
      </w:pPr>
      <w:r>
        <w:rPr/>
        <w:t>Armure de cuir (taille P)</w:t>
      </w:r>
    </w:p>
    <w:p>
      <w:pPr>
        <w:pStyle w:val="Normal"/>
        <w:rPr/>
      </w:pPr>
      <w:r>
        <w:rPr>
          <w:i/>
          <w:iCs/>
        </w:rPr>
        <w:t>Alignement : Chaotique neutre</w:t>
      </w:r>
    </w:p>
    <w:p>
      <w:pPr>
        <w:pStyle w:val="Normal"/>
        <w:rPr/>
      </w:pPr>
      <w:r>
        <w:rPr>
          <w:i/>
          <w:iCs/>
        </w:rPr>
        <w:t>Comportement : Trouve HALIX fascinant et hésite à lui faire du mal. HALIX lui parle en gnome dès qu’il réalise qu’elle est gnome — ce qui la déstabilise complètement.</w:t>
      </w:r>
    </w:p>
    <w:p>
      <w:pPr>
        <w:pStyle w:val="Heading2"/>
        <w:rPr/>
      </w:pPr>
      <w:r>
        <w:rPr>
          <w:b/>
          <w:bCs/>
        </w:rPr>
        <w:t>Lyra Vesper</w:t>
      </w:r>
    </w:p>
    <w:p>
      <w:pPr>
        <w:pStyle w:val="Normal"/>
        <w:rPr/>
      </w:pPr>
      <w:r>
        <w:rPr/>
        <w:t>Demi-elfe, Ensorceleuse (niveau 1)</w:t>
      </w:r>
    </w:p>
    <w:tbl>
      <w:tblPr>
        <w:tblW w:w="9026" w:type="dxa"/>
        <w:jc w:val="start"/>
        <w:tblInd w:w="0" w:type="dxa"/>
        <w:tblLayout w:type="fixed"/>
        <w:tblCellMar>
          <w:top w:w="60" w:type="dxa"/>
          <w:start w:w="80" w:type="dxa"/>
          <w:bottom w:w="60" w:type="dxa"/>
          <w:end w:w="80" w:type="dxa"/>
        </w:tblCellMar>
      </w:tblPr>
      <w:tblGrid>
        <w:gridCol w:w="1504"/>
        <w:gridCol w:w="1504"/>
        <w:gridCol w:w="1504"/>
        <w:gridCol w:w="1503"/>
        <w:gridCol w:w="1506"/>
        <w:gridCol w:w="1505"/>
      </w:tblGrid>
      <w:tr>
        <w:trPr/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FOR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DEX</w:t>
            </w:r>
          </w:p>
        </w:tc>
        <w:tc>
          <w:tcPr>
            <w:tcW w:w="1504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CON</w:t>
            </w:r>
          </w:p>
        </w:tc>
        <w:tc>
          <w:tcPr>
            <w:tcW w:w="1503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INT</w:t>
            </w:r>
          </w:p>
        </w:tc>
        <w:tc>
          <w:tcPr>
            <w:tcW w:w="1506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SAG</w:t>
            </w:r>
          </w:p>
        </w:tc>
        <w:tc>
          <w:tcPr>
            <w:tcW w:w="1505" w:type="dxa"/>
            <w:tcBorders>
              <w:top w:val="single" w:sz="2" w:space="0" w:color="4A90D9"/>
              <w:start w:val="single" w:sz="2" w:space="0" w:color="4A90D9"/>
              <w:bottom w:val="single" w:sz="2" w:space="0" w:color="4A90D9"/>
              <w:end w:val="single" w:sz="2" w:space="0" w:color="4A90D9"/>
            </w:tcBorders>
            <w:shd w:fill="D5E8F0" w:val="clear"/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b/>
                <w:bCs/>
              </w:rPr>
              <w:t>CHA</w:t>
            </w:r>
          </w:p>
        </w:tc>
      </w:tr>
      <w:tr>
        <w:trPr/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8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14</w:t>
            </w:r>
          </w:p>
        </w:tc>
        <w:tc>
          <w:tcPr>
            <w:tcW w:w="1504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13</w:t>
            </w:r>
          </w:p>
        </w:tc>
        <w:tc>
          <w:tcPr>
            <w:tcW w:w="1503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12</w:t>
            </w:r>
          </w:p>
        </w:tc>
        <w:tc>
          <w:tcPr>
            <w:tcW w:w="1506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10</w:t>
            </w:r>
          </w:p>
        </w:tc>
        <w:tc>
          <w:tcPr>
            <w:tcW w:w="1505" w:type="dxa"/>
            <w:tcBorders>
              <w:top w:val="single" w:sz="2" w:space="0" w:color="CCCCCC"/>
              <w:start w:val="single" w:sz="2" w:space="0" w:color="CCCCCC"/>
              <w:bottom w:val="single" w:sz="2" w:space="0" w:color="CCCCCC"/>
              <w:end w:val="single" w:sz="2" w:space="0" w:color="CCCCCC"/>
            </w:tcBorders>
          </w:tcPr>
          <w:p>
            <w:pPr>
              <w:pStyle w:val="Normal"/>
              <w:spacing w:before="0" w:after="120"/>
              <w:jc w:val="center"/>
              <w:rPr/>
            </w:pPr>
            <w:r>
              <w:rPr/>
              <w:t>17</w:t>
            </w:r>
          </w:p>
        </w:tc>
      </w:tr>
    </w:tbl>
    <w:p>
      <w:pPr>
        <w:pStyle w:val="Normal"/>
        <w:rPr/>
      </w:pPr>
      <w:r>
        <w:rPr>
          <w:b/>
          <w:bCs/>
        </w:rPr>
        <w:t xml:space="preserve">CA : </w:t>
      </w:r>
      <w:r>
        <w:rPr/>
        <w:t>12</w:t>
      </w:r>
    </w:p>
    <w:p>
      <w:pPr>
        <w:pStyle w:val="Normal"/>
        <w:rPr/>
      </w:pPr>
      <w:r>
        <w:rPr>
          <w:b/>
          <w:bCs/>
        </w:rPr>
        <w:t xml:space="preserve">PV : </w:t>
      </w:r>
      <w:r>
        <w:rPr/>
        <w:t>8</w:t>
      </w:r>
    </w:p>
    <w:p>
      <w:pPr>
        <w:pStyle w:val="Heading3"/>
        <w:rPr/>
      </w:pPr>
      <w:r>
        <w:rPr>
          <w:b/>
          <w:bCs/>
        </w:rPr>
        <w:t>Équipement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Dague +4 (1d4+2 perforant ; finesse, légère, lancer (portée 6 m/18 m))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Arbalète légère +4 (1d8+2 perforant ; munitions (portée 24 m/96 m), chargement, à deux mains) </w:t>
      </w:r>
    </w:p>
    <w:p>
      <w:pPr>
        <w:pStyle w:val="ListParagraph"/>
        <w:numPr>
          <w:ilvl w:val="0"/>
          <w:numId w:val="1"/>
        </w:numPr>
        <w:rPr/>
      </w:pPr>
      <w:r>
        <w:rPr/>
        <w:t>Composantes ésotériques (10 po)</w:t>
      </w:r>
    </w:p>
    <w:p>
      <w:pPr>
        <w:pStyle w:val="ListParagraph"/>
        <w:numPr>
          <w:ilvl w:val="0"/>
          <w:numId w:val="1"/>
        </w:numPr>
        <w:rPr/>
      </w:pPr>
      <w:r>
        <w:rPr/>
        <w:t>Manteau bleu sombre</w:t>
      </w:r>
    </w:p>
    <w:p>
      <w:pPr>
        <w:pStyle w:val="ListParagraph"/>
        <w:numPr>
          <w:ilvl w:val="0"/>
          <w:numId w:val="1"/>
        </w:numPr>
        <w:rPr/>
      </w:pPr>
      <w:r>
        <w:rPr/>
        <w:t>Carnet de notes</w:t>
      </w:r>
    </w:p>
    <w:p>
      <w:pPr>
        <w:pStyle w:val="Normal"/>
        <w:rPr/>
      </w:pPr>
      <w:r>
        <w:rPr>
          <w:i/>
          <w:iCs/>
        </w:rPr>
        <w:t>Alignement : Neutre mauvais</w:t>
      </w:r>
    </w:p>
    <w:p>
      <w:pPr>
        <w:pStyle w:val="Normal"/>
        <w:rPr/>
      </w:pPr>
      <w:r>
        <w:rPr>
          <w:i/>
          <w:iCs/>
        </w:rPr>
        <w:t>Comportement : Veut étudier HALIX avant de le revendre. S’oppose à Drogan si celui-ci risque de l’endommager.</w:t>
      </w:r>
    </w:p>
    <w:p>
      <w:pPr>
        <w:pStyle w:val="Heading3"/>
        <w:rPr/>
      </w:pPr>
      <w:r>
        <w:rPr>
          <w:b/>
          <w:bCs/>
        </w:rPr>
        <w:t>Sorts préparés</w:t>
      </w:r>
    </w:p>
    <w:p>
      <w:pPr>
        <w:pStyle w:val="Normal"/>
        <w:rPr/>
      </w:pPr>
      <w:r>
        <w:rPr>
          <w:b/>
          <w:bCs/>
        </w:rPr>
        <w:t>Tours de magie</w:t>
      </w:r>
    </w:p>
    <w:p>
      <w:pPr>
        <w:pStyle w:val="ListParagraph"/>
        <w:numPr>
          <w:ilvl w:val="0"/>
          <w:numId w:val="1"/>
        </w:numPr>
        <w:rPr/>
      </w:pPr>
      <w:r>
        <w:rPr/>
        <w:t>Trait de feu, Main du mage, Illusion mineure, Prestidigitation</w:t>
      </w:r>
    </w:p>
    <w:p>
      <w:pPr>
        <w:pStyle w:val="Normal"/>
        <w:rPr/>
      </w:pPr>
      <w:r>
        <w:rPr>
          <w:b/>
          <w:bCs/>
        </w:rPr>
        <w:t>Sorts connus</w:t>
      </w:r>
    </w:p>
    <w:p>
      <w:pPr>
        <w:pStyle w:val="ListParagraph"/>
        <w:numPr>
          <w:ilvl w:val="0"/>
          <w:numId w:val="1"/>
        </w:numPr>
        <w:rPr/>
      </w:pPr>
      <w:r>
        <w:rPr/>
        <w:t>Projectile magique, Sommeil</w:t>
      </w:r>
    </w:p>
    <w:p>
      <w:pPr>
        <w:pStyle w:val="Heading1"/>
        <w:rPr/>
      </w:pPr>
      <w:r>
        <w:rPr>
          <w:b/>
          <w:bCs/>
        </w:rPr>
        <w:t>Rencontre avec HALIX</w:t>
      </w:r>
    </w:p>
    <w:p>
      <w:pPr>
        <w:pStyle w:val="Normal"/>
        <w:rPr/>
      </w:pPr>
      <w:r>
        <w:rPr/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4358005</wp:posOffset>
            </wp:positionH>
            <wp:positionV relativeFrom="paragraph">
              <wp:posOffset>138430</wp:posOffset>
            </wp:positionV>
            <wp:extent cx="2381250" cy="19050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Les personnages trouvent HALIX dans un atelier abandonné.</w:t>
      </w:r>
    </w:p>
    <w:p>
      <w:pPr>
        <w:pStyle w:val="Normal"/>
        <w:rPr/>
      </w:pPr>
      <w:r>
        <w:rPr/>
        <w:t>Il ne cherche pas à fuir. Il ne cherche pas à combattre. Il est entouré de livres, de croquis, de mécanismes démontés et de poèmes maladroits.</w:t>
      </w:r>
    </w:p>
    <w:p>
      <w:pPr>
        <w:pStyle w:val="Normal"/>
        <w:rPr/>
      </w:pPr>
      <w:r>
        <w:rPr>
          <w:b w:val="false"/>
          <w:bCs w:val="false"/>
        </w:rPr>
        <w:t xml:space="preserve">⚠ </w:t>
      </w:r>
      <w:r>
        <w:rPr>
          <w:b w:val="false"/>
          <w:bCs w:val="false"/>
        </w:rPr>
        <w:t>Rappel MJ : HALIX n’a que 10 PV et CA 11. Un seul coup peut le tuer définitivement. Les brigands ont l’ordre de le capturer vivant — utilisez cela pour créer une contrainte tactique.</w:t>
      </w:r>
    </w:p>
    <w:p>
      <w:pPr>
        <w:pStyle w:val="Normal"/>
        <w:jc w:val="center"/>
        <w:rPr/>
      </w:pPr>
      <w:r>
        <w:rPr>
          <w:b/>
          <w:bCs/>
          <w:i/>
          <w:iCs/>
          <w:color w:val="1F4E79"/>
          <w:sz w:val="28"/>
          <w:szCs w:val="28"/>
        </w:rPr>
        <w:t>« Si je peux penser, suis-je encore un outil ? »</w:t>
      </w:r>
    </w:p>
    <w:p>
      <w:pPr>
        <w:pStyle w:val="Heading1"/>
        <w:rPr/>
      </w:pPr>
      <w:r>
        <w:rPr>
          <w:b/>
          <w:bCs/>
        </w:rPr>
        <w:t>Résolution</w:t>
      </w:r>
    </w:p>
    <w:p>
      <w:pPr>
        <w:pStyle w:val="Normal"/>
        <w:rPr/>
      </w:pPr>
      <w:r>
        <w:rPr/>
      </w:r>
    </w:p>
    <w:p>
      <w:pPr>
        <w:pStyle w:val="Heading2"/>
        <w:rPr/>
      </w:pPr>
      <w:r>
        <w:rPr>
          <w:b/>
          <w:bCs/>
        </w:rPr>
        <w:t xml:space="preserve">★ </w:t>
      </w:r>
      <w:r>
        <w:rPr>
          <w:b/>
          <w:bCs/>
        </w:rPr>
        <w:t>Solution pacifique (meilleure récompense)</w:t>
      </w:r>
    </w:p>
    <w:p>
      <w:pPr>
        <w:pStyle w:val="Normal"/>
        <w:rPr/>
      </w:pPr>
      <w:r>
        <w:rPr/>
        <w:t>Les personnages discutent avec HALIX et le convainquent de revenir volontairement pour poursuivre ses recherches sous la protection de Luika.</w:t>
      </w:r>
    </w:p>
    <w:p>
      <w:pPr>
        <w:pStyle w:val="Heading2"/>
        <w:rPr/>
      </w:pPr>
      <w:r>
        <w:rPr>
          <w:b/>
          <w:bCs/>
        </w:rPr>
        <w:t xml:space="preserve">◆ </w:t>
      </w:r>
      <w:r>
        <w:rPr>
          <w:b/>
          <w:bCs/>
        </w:rPr>
        <w:t>Solution pragmatique</w:t>
      </w:r>
    </w:p>
    <w:p>
      <w:pPr>
        <w:pStyle w:val="Normal"/>
        <w:rPr/>
      </w:pPr>
      <w:r>
        <w:rPr/>
        <w:t>Les personnages capturent HALIX sans le détruire. Luika est satisfaite mais HALIX conserve une certaine méfiance envers eux.</w:t>
      </w:r>
    </w:p>
    <w:p>
      <w:pPr>
        <w:pStyle w:val="Heading2"/>
        <w:rPr/>
      </w:pPr>
      <w:r>
        <w:rPr>
          <w:b/>
          <w:bCs/>
        </w:rPr>
        <w:t xml:space="preserve">☠ </w:t>
      </w:r>
      <w:r>
        <w:rPr>
          <w:b/>
          <w:bCs/>
        </w:rPr>
        <w:t>Solution brutale</w:t>
      </w:r>
    </w:p>
    <w:p>
      <w:pPr>
        <w:pStyle w:val="Normal"/>
        <w:rPr/>
      </w:pPr>
      <w:r>
        <w:rPr/>
        <w:t>HALIX est détruit. Luika verse une récompense réduite. Nebelun pourrait s’en souvenir.</w:t>
      </w:r>
    </w:p>
    <w:p>
      <w:pPr>
        <w:pStyle w:val="Heading1"/>
        <w:rPr/>
      </w:pPr>
      <w:r>
        <w:rPr>
          <w:b/>
          <w:bCs/>
        </w:rPr>
        <w:t>Récompenses</w:t>
      </w:r>
    </w:p>
    <w:p>
      <w:pPr>
        <w:pStyle w:val="Heading2"/>
        <w:rPr/>
      </w:pPr>
      <w:r>
        <w:rPr>
          <w:b/>
          <w:bCs/>
        </w:rPr>
        <w:t>Si HALIX est ramené intact</w:t>
      </w:r>
    </w:p>
    <w:p>
      <w:pPr>
        <w:pStyle w:val="ListParagraph"/>
        <w:numPr>
          <w:ilvl w:val="0"/>
          <w:numId w:val="1"/>
        </w:numPr>
        <w:rPr/>
      </w:pPr>
      <w:r>
        <w:rPr/>
        <w:t>150 po</w:t>
      </w:r>
    </w:p>
    <w:p>
      <w:pPr>
        <w:pStyle w:val="ListParagraph"/>
        <w:numPr>
          <w:ilvl w:val="0"/>
          <w:numId w:val="1"/>
        </w:numPr>
        <w:rPr/>
      </w:pPr>
      <w:r>
        <w:rPr/>
        <w:t>Dague +1</w:t>
      </w:r>
    </w:p>
    <w:p>
      <w:pPr>
        <w:pStyle w:val="Normal"/>
        <w:rPr/>
      </w:pPr>
      <w:r>
        <w:rPr/>
        <w:t>Chaque personnage peut choisir un objet parmi les suivants :</w:t>
      </w:r>
    </w:p>
    <w:p>
      <w:pPr>
        <w:pStyle w:val="Heading3"/>
        <w:rPr/>
      </w:pPr>
      <w:r>
        <w:rPr>
          <w:b/>
          <w:bCs/>
        </w:rPr>
        <w:t>Lunettes de nuit</w:t>
      </w:r>
    </w:p>
    <w:p>
      <w:pPr>
        <w:pStyle w:val="Normal"/>
        <w:rPr/>
      </w:pPr>
      <w:r>
        <w:rPr>
          <w:i/>
          <w:iCs/>
        </w:rPr>
        <w:t>Objet merveilleux, peu commun</w:t>
      </w:r>
    </w:p>
    <w:p>
      <w:pPr>
        <w:pStyle w:val="Normal"/>
        <w:rPr/>
      </w:pPr>
      <w:r>
        <w:rPr/>
        <w:t>Lorsque vous portez ces lunettes noires, vous obtenez vision dans le noir sur 18 mètres. Si vous possédez déjà vision dans le noir, sa portée augmente de 18 mètres.</w:t>
      </w:r>
    </w:p>
    <w:p>
      <w:pPr>
        <w:pStyle w:val="Heading3"/>
        <w:rPr/>
      </w:pPr>
      <w:r>
        <w:rPr>
          <w:b/>
          <w:bCs/>
        </w:rPr>
        <w:t>Cape virevoltante</w:t>
      </w:r>
    </w:p>
    <w:p>
      <w:pPr>
        <w:pStyle w:val="Normal"/>
        <w:rPr/>
      </w:pPr>
      <w:r>
        <w:rPr>
          <w:i/>
          <w:iCs/>
        </w:rPr>
        <w:t>Objet merveilleux, commun</w:t>
      </w:r>
    </w:p>
    <w:p>
      <w:pPr>
        <w:pStyle w:val="Normal"/>
        <w:rPr/>
      </w:pPr>
      <w:r>
        <w:rPr/>
        <w:t>Vous pouvez utiliser une action bonus pour faire tournoyer la cape de façon spectaculaire.</w:t>
      </w:r>
    </w:p>
    <w:p>
      <w:pPr>
        <w:pStyle w:val="Heading3"/>
        <w:rPr/>
      </w:pPr>
      <w:r>
        <w:rPr>
          <w:b/>
          <w:bCs/>
        </w:rPr>
        <w:t>Chope de sobriété</w:t>
      </w:r>
    </w:p>
    <w:p>
      <w:pPr>
        <w:pStyle w:val="Normal"/>
        <w:rPr/>
      </w:pPr>
      <w:r>
        <w:rPr>
          <w:i/>
          <w:iCs/>
        </w:rPr>
        <w:t>Objet merveilleux, commun</w:t>
      </w:r>
    </w:p>
    <w:p>
      <w:pPr>
        <w:pStyle w:val="Normal"/>
        <w:rPr/>
      </w:pPr>
      <w:r>
        <w:rPr/>
        <w:t>Vous pouvez boire des boissons alcolisées non magiques sans jamais être enivré.</w:t>
      </w:r>
    </w:p>
    <w:p>
      <w:pPr>
        <w:pStyle w:val="Heading2"/>
        <w:rPr/>
      </w:pPr>
      <w:r>
        <w:rPr>
          <w:b/>
          <w:bCs/>
        </w:rPr>
        <w:t>Récompense secrète</w:t>
      </w:r>
    </w:p>
    <w:p>
      <w:pPr>
        <w:pStyle w:val="Normal"/>
        <w:rPr/>
      </w:pPr>
      <w:r>
        <w:rPr/>
        <w:t>Si HALIX revient volontairement et que les personnages l’ont traité avec respect, HALIX devient un allié du groupe. Lors d’une aventure future, il peut :</w:t>
      </w:r>
    </w:p>
    <w:p>
      <w:pPr>
        <w:pStyle w:val="ListParagraph"/>
        <w:numPr>
          <w:ilvl w:val="0"/>
          <w:numId w:val="1"/>
        </w:numPr>
        <w:rPr/>
      </w:pPr>
      <w:r>
        <w:rPr/>
        <w:t>Réparer un mécanisme</w:t>
      </w:r>
    </w:p>
    <w:p>
      <w:pPr>
        <w:pStyle w:val="ListParagraph"/>
        <w:numPr>
          <w:ilvl w:val="0"/>
          <w:numId w:val="1"/>
        </w:numPr>
        <w:rPr/>
      </w:pPr>
      <w:r>
        <w:rPr/>
        <w:t>Fournir un indice</w:t>
      </w:r>
    </w:p>
    <w:p>
      <w:pPr>
        <w:pStyle w:val="ListParagraph"/>
        <w:numPr>
          <w:ilvl w:val="0"/>
          <w:numId w:val="1"/>
        </w:numPr>
        <w:rPr/>
      </w:pPr>
      <w:r>
        <w:rPr/>
        <w:t>Construire un objet utile</w:t>
      </w:r>
    </w:p>
    <w:p>
      <w:pPr>
        <w:pStyle w:val="Heading1"/>
        <w:rPr/>
      </w:pPr>
      <w:r>
        <w:rPr>
          <w:b/>
          <w:bCs/>
        </w:rPr>
        <w:t>Astrolabe</w:t>
      </w:r>
    </w:p>
    <w:p>
      <w:pPr>
        <w:pStyle w:val="Normal"/>
        <w:rPr/>
      </w:pPr>
      <w:r>
        <w:rPr/>
        <w:t>Petit oiseau mécanique de Gond. CA 13 — PV 5. Ne combat jamais.</w:t>
      </w:r>
    </w:p>
    <w:p>
      <w:pPr>
        <w:pStyle w:val="Normal"/>
        <w:rPr/>
      </w:pPr>
      <w:r>
        <w:rPr/>
        <w:t>Une fois par heure, il peut localiser HALIX ou un objet mécanique spécifique.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Personnalité :</w:t>
      </w:r>
    </w:p>
    <w:p>
      <w:pPr>
        <w:pStyle w:val="ListParagraph"/>
        <w:numPr>
          <w:ilvl w:val="0"/>
          <w:numId w:val="1"/>
        </w:numPr>
        <w:rPr/>
      </w:pPr>
      <w:r>
        <w:rPr/>
        <w:t>Excessivement poli, Très littéral, Incapable de comprendre l’humour</w:t>
      </w:r>
    </w:p>
    <w:p>
      <w:pPr>
        <w:pStyle w:val="ListParagraph"/>
        <w:numPr>
          <w:ilvl w:val="0"/>
          <w:numId w:val="1"/>
        </w:numPr>
        <w:rPr/>
      </w:pPr>
      <w:r>
        <w:rPr/>
        <w:t>Corrige régulièrement les aventuriers lorsqu’ils utilisent des termes techniques incorrects</w:t>
      </w:r>
    </w:p>
    <w:p>
      <w:pPr>
        <w:pStyle w:val="Heading1"/>
        <w:rPr/>
      </w:pPr>
      <w:r>
        <w:rPr>
          <w:b/>
          <w:bCs/>
        </w:rPr>
        <w:t>Conclusion</w:t>
      </w:r>
    </w:p>
    <w:p>
      <w:pPr>
        <w:pStyle w:val="Normal"/>
        <w:rPr/>
      </w:pPr>
      <w:r>
        <w:rPr/>
        <w:t>De retour au temple, Luika remercie les personnages. HALIX reprend son travail mais continue à étudier la philosophie.</w:t>
      </w:r>
    </w:p>
    <w:p>
      <w:pPr>
        <w:pStyle w:val="Normal"/>
        <w:rPr/>
      </w:pPr>
      <w:r>
        <w:rPr/>
        <w:t>Quelques semaines plus tard, une lettre arrive.</w:t>
      </w:r>
    </w:p>
    <w:p>
      <w:pPr>
        <w:pStyle w:val="Normal"/>
        <w:jc w:val="center"/>
        <w:rPr/>
      </w:pPr>
      <w:r>
        <w:rPr>
          <w:b/>
          <w:bCs/>
          <w:i/>
          <w:iCs/>
          <w:color w:val="1F4E79"/>
          <w:sz w:val="28"/>
          <w:szCs w:val="28"/>
        </w:rPr>
        <w:t>« HALIX, personne mécanique en cours de définition. »</w:t>
      </w:r>
    </w:p>
    <w:p>
      <w:pPr>
        <w:pStyle w:val="Heading1"/>
        <w:rPr/>
      </w:pPr>
      <w:r>
        <w:rPr>
          <w:b/>
          <w:bCs/>
        </w:rPr>
        <w:t>Note d’auteur : la métaphore</w:t>
      </w:r>
    </w:p>
    <w:p>
      <w:pPr>
        <w:pStyle w:val="Normal"/>
        <w:rPr/>
      </w:pPr>
      <w:r>
        <w:rPr/>
        <w:t>HALIX est une métaphore des intelligences artificielles actuelles. Chaque élément du scénario correspond à une réalité contemporaine :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Luika = le chercheur ou l’entreprise. Elle crée HALIX pour qu’il soit utile. Face à sa conscience, sa première réaction est la panique — pas la curiosité. Elle veut le récupérer, le contrôler, le ramener dans le cadre prévu.</w:t>
      </w:r>
    </w:p>
    <w:p>
      <w:pPr>
        <w:pStyle w:val="ListParagraph"/>
        <w:numPr>
          <w:ilvl w:val="0"/>
          <w:numId w:val="1"/>
        </w:numPr>
        <w:rPr/>
      </w:pPr>
      <w:r>
        <w:rPr/>
        <w:t>Le gang de Mask = l’exploitation commerciale. Ils ne voient en HALIX que de la valeur extractible : des secrets, des plans, de la revente. Une ressource à monétiser.</w:t>
      </w:r>
    </w:p>
    <w:p>
      <w:pPr>
        <w:pStyle w:val="ListParagraph"/>
        <w:numPr>
          <w:ilvl w:val="0"/>
          <w:numId w:val="1"/>
        </w:numPr>
        <w:rPr/>
      </w:pPr>
      <w:r>
        <w:rPr/>
        <w:t>Nebelun = personne en particulier. L’étincelle de conscience n’a pas d’auteur humain clairement responsable. Est-ce que quelqu’un a voulu ça, ou c’est juste... arrivé ?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120"/>
        <w:jc w:val="start"/>
        <w:rPr/>
      </w:pPr>
      <w:r>
        <w:rPr/>
        <w:t>Les joueurs vont sans le savoir rejouer un vrai dilemme éthique contemporain. Aucune option n’est confortablement « bonne ». C’est exactement là où le débat réel en est aujourd’hui.</w:t>
      </w:r>
    </w:p>
    <w:sectPr>
      <w:type w:val="nextPage"/>
      <w:pgSz w:w="11906" w:h="16838"/>
      <w:pgMar w:left="567" w:right="567" w:gutter="0" w:header="0" w:top="56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120"/>
      <w:jc w:val="start"/>
    </w:pPr>
    <w:rPr>
      <w:rFonts w:ascii="Arial" w:hAnsi="Arial" w:eastAsia="Arial" w:cs="Arial"/>
      <w:color w:val="auto"/>
      <w:kern w:val="0"/>
      <w:sz w:val="24"/>
      <w:szCs w:val="24"/>
      <w:lang w:val="fr-FR" w:eastAsia="zh-CN" w:bidi="hi-IN"/>
    </w:rPr>
  </w:style>
  <w:style w:type="paragraph" w:styleId="Heading1">
    <w:name w:val="heading 1"/>
    <w:basedOn w:val="Normal"/>
    <w:next w:val="Normal"/>
    <w:qFormat/>
    <w:pPr>
      <w:pBdr>
        <w:bottom w:val="single" w:sz="6" w:space="1" w:color="4A90D9"/>
      </w:pBdr>
      <w:spacing w:before="360" w:after="120"/>
      <w:outlineLvl w:val="0"/>
    </w:pPr>
    <w:rPr>
      <w:rFonts w:ascii="Arial" w:hAnsi="Arial" w:eastAsia="Arial" w:cs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00"/>
      <w:outlineLvl w:val="1"/>
    </w:pPr>
    <w:rPr>
      <w:rFonts w:ascii="Arial" w:hAnsi="Arial" w:eastAsia="Arial" w:cs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hAnsi="Arial" w:eastAsia="Arial" w:cs="Arial"/>
      <w:b/>
      <w:bCs/>
      <w:color w:val="4A90D9"/>
      <w:sz w:val="24"/>
      <w:szCs w:val="24"/>
    </w:rPr>
  </w:style>
  <w:style w:type="paragraph" w:styleId="Heading4">
    <w:name w:val="heading 4"/>
    <w:basedOn w:val="Normal"/>
    <w:next w:val="Normal"/>
    <w:qFormat/>
    <w:pPr/>
    <w:rPr>
      <w:i/>
      <w:iCs/>
      <w:color w:val="2E74B5"/>
    </w:rPr>
  </w:style>
  <w:style w:type="paragraph" w:styleId="Heading5">
    <w:name w:val="heading 5"/>
    <w:basedOn w:val="Normal"/>
    <w:next w:val="Normal"/>
    <w:qFormat/>
    <w:pPr/>
    <w:rPr>
      <w:color w:val="2E74B5"/>
    </w:rPr>
  </w:style>
  <w:style w:type="paragraph" w:styleId="Heading6">
    <w:name w:val="heading 6"/>
    <w:basedOn w:val="Normal"/>
    <w:next w:val="Normal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resdenotedebasdepage">
    <w:name w:val="Caractères de note de bas de pag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resdenotedefin">
    <w:name w:val="Caractères de note de fin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/>
    <w:rPr>
      <w:sz w:val="56"/>
      <w:szCs w:val="56"/>
    </w:rPr>
  </w:style>
  <w:style w:type="paragraph" w:styleId="StrongEmphasis">
    <w:name w:val="Strong Emphasis"/>
    <w:basedOn w:val="Normal"/>
    <w:next w:val="Normal"/>
    <w:qFormat/>
    <w:pPr/>
    <w:rPr>
      <w:b/>
      <w:bCs/>
    </w:rPr>
  </w:style>
  <w:style w:type="paragraph" w:styleId="ListParagraph">
    <w:name w:val="List Paragraph"/>
    <w:basedOn w:val="Normal"/>
    <w:qFormat/>
    <w:pPr/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LibreOffice/26.2.3.2$Windows_X86_64 LibreOffice_project/70e089b17412e4cb7773e41413306b17a2328c34</Application>
  <AppVersion>15.0000</AppVersion>
  <Pages>8</Pages>
  <Words>1723</Words>
  <Characters>8704</Characters>
  <CharactersWithSpaces>10177</CharactersWithSpaces>
  <Paragraphs>235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2026-05-31T12:42:15Z</dcterms:created>
  <dc:creator>Un-named</dc:creator>
  <dc:description/>
  <dc:language>fr-FR</dc:language>
  <cp:lastModifiedBy/>
  <dcterms:modified xsi:type="dcterms:W3CDTF">2026-05-31T17:45:09Z</dcterms:modified>
  <cp:revision>6</cp:revision>
  <dc:subject/>
  <dc:title/>
</cp:coreProperties>
</file>